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6/17/2017</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LOUISIANA QUIZ BOWL ASSOCIATION CONSTITUTION</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tbl>
      <w:tblPr>
        <w:tblStyle w:val="Table1"/>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NAME OF ORGANIZATION</w:t>
            </w:r>
          </w:p>
        </w:tc>
      </w:tr>
    </w:tbl>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the LOUISIANA QUIZ BOWL ASSOCIATION or LQBA.</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MEMBERSHIP AND GOALS</w:t>
            </w:r>
          </w:p>
        </w:tc>
      </w:tr>
    </w:tbl>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Constituent Members of LQBA s</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all be composed of the following:</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representatives of Louisiana schools that pay the state tournament fee or a membership fee which are to be set at the Annual General Board Meeting.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community members (alumni, college students, retired teachers, volunteers, etc.) as designated by the LQBA Board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LQBA seeks to do the following: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academic competition among Louisiana schools;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 </w:t>
      </w:r>
      <w:r w:rsidDel="00000000" w:rsidR="00000000" w:rsidRPr="00000000">
        <w:rPr>
          <w:rFonts w:ascii="Times New Roman" w:cs="Times New Roman" w:eastAsia="Times New Roman" w:hAnsi="Times New Roman"/>
          <w:sz w:val="24"/>
          <w:szCs w:val="24"/>
          <w:rtl w:val="0"/>
        </w:rPr>
        <w:t xml:space="preserve">a state championship tournament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information about available tournaments both at the state and national levels;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foster communication among academic teams throughout the state of Louisiana.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rPr>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EXECUTIVE CABINET AND GENERAL BOARD</w:t>
            </w:r>
          </w:p>
        </w:tc>
      </w:tr>
    </w:tbl>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Cabinet of LQBA s</w:t>
      </w:r>
      <w:r w:rsidDel="00000000" w:rsidR="00000000" w:rsidRPr="00000000">
        <w:rPr>
          <w:rFonts w:ascii="Times New Roman" w:cs="Times New Roman" w:eastAsia="Times New Roman" w:hAnsi="Times New Roman"/>
          <w:sz w:val="24"/>
          <w:szCs w:val="24"/>
          <w:rtl w:val="0"/>
        </w:rPr>
        <w:t xml:space="preserve">hall be a </w:t>
      </w:r>
      <w:r w:rsidDel="00000000" w:rsidR="00000000" w:rsidRPr="00000000">
        <w:rPr>
          <w:rFonts w:ascii="Times New Roman" w:cs="Times New Roman" w:eastAsia="Times New Roman" w:hAnsi="Times New Roman"/>
          <w:sz w:val="24"/>
          <w:szCs w:val="24"/>
          <w:rtl w:val="0"/>
        </w:rPr>
        <w:t xml:space="preserve">President, Vice President, Secretary, and Treasurer.</w:t>
      </w:r>
      <w:r w:rsidDel="00000000" w:rsidR="00000000" w:rsidRPr="00000000">
        <w:rPr>
          <w:rFonts w:ascii="Times New Roman" w:cs="Times New Roman" w:eastAsia="Times New Roman" w:hAnsi="Times New Roman"/>
          <w:sz w:val="24"/>
          <w:szCs w:val="24"/>
          <w:rtl w:val="0"/>
        </w:rPr>
        <w:t xml:space="preserve"> The duties of those officers shall be as follows: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after consultation with the the Executive Cabinet, may appoint certain other ad hoc officers and committees as may become necessary or advantageous to the facilitation of the activities of the organization. The President shall preside over the Annual General Board Meeting and all other Executive Cabinet meetings and shall give direction to the organization.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Vice-President</w:t>
      </w:r>
      <w:r w:rsidDel="00000000" w:rsidR="00000000" w:rsidRPr="00000000">
        <w:rPr>
          <w:rFonts w:ascii="Times New Roman" w:cs="Times New Roman" w:eastAsia="Times New Roman" w:hAnsi="Times New Roman"/>
          <w:sz w:val="24"/>
          <w:szCs w:val="24"/>
          <w:rtl w:val="0"/>
        </w:rPr>
        <w:t xml:space="preserve"> shall act as President in the absence of the President and perform any duties assigned by the President.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shall keep and preserve an accurate record of the proceedings of all General Board and/or Executive Cabinet meetings and shall make appropriate reports of those proceedings to the General Board.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collect, secure, and account for LQBA’s funds and shall make reports of such funds as called for by the President.</w:t>
      </w:r>
    </w:p>
    <w:p w:rsidR="00000000" w:rsidDel="00000000" w:rsidP="00000000" w:rsidRDefault="00000000" w:rsidRPr="00000000">
      <w:pPr>
        <w:pBdr>
          <w:top w:space="0" w:sz="0" w:val="nil"/>
          <w:left w:space="0" w:sz="0" w:val="nil"/>
          <w:bottom w:space="0" w:sz="0" w:val="nil"/>
          <w:right w:space="0" w:sz="0" w:val="nil"/>
          <w:between w:space="0" w:sz="0" w:val="nil"/>
        </w:pBdr>
        <w:ind w:left="720" w:hanging="36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The General Board of LQBA sh</w:t>
      </w:r>
      <w:r w:rsidDel="00000000" w:rsidR="00000000" w:rsidRPr="00000000">
        <w:rPr>
          <w:rFonts w:ascii="Times New Roman" w:cs="Times New Roman" w:eastAsia="Times New Roman" w:hAnsi="Times New Roman"/>
          <w:sz w:val="24"/>
          <w:szCs w:val="24"/>
          <w:rtl w:val="0"/>
        </w:rPr>
        <w:t xml:space="preserve">all be composed of the Executive Cabinet, the State Tournament Director, the State Webmaster, and up to eight Members–at–large and shall have the power to act for the Constituent Member schools of the organization.</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Board Members will be chosen by Executive Cabinet Members.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Careful consideration to geography and population shall be given appointing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Starting with the </w:t>
      </w:r>
      <w:r w:rsidDel="00000000" w:rsidR="00000000" w:rsidRPr="00000000">
        <w:rPr>
          <w:rFonts w:ascii="Times New Roman" w:cs="Times New Roman" w:eastAsia="Times New Roman" w:hAnsi="Times New Roman"/>
          <w:sz w:val="24"/>
          <w:szCs w:val="24"/>
          <w:rtl w:val="0"/>
        </w:rPr>
        <w:t xml:space="preserve">2018-2020 term</w:t>
      </w:r>
      <w:r w:rsidDel="00000000" w:rsidR="00000000" w:rsidRPr="00000000">
        <w:rPr>
          <w:rFonts w:ascii="Times New Roman" w:cs="Times New Roman" w:eastAsia="Times New Roman" w:hAnsi="Times New Roman"/>
          <w:sz w:val="24"/>
          <w:szCs w:val="24"/>
          <w:rtl w:val="0"/>
        </w:rPr>
        <w:t xml:space="preserve">, the Executive Cabinet will be elected by the Membership every two years.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Even-numbered years will be election years.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will occur at the Annual General Board Meeting, the date of which shall be set by the President.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Terms for Executive Cabinet Members will begin on July 1 of their election year and end on June 30 of the next election year.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Times New Roman" w:cs="Times New Roman" w:eastAsia="Times New Roman" w:hAnsi="Times New Roman"/>
          <w:sz w:val="24"/>
          <w:szCs w:val="24"/>
        </w:rPr>
      </w:pPr>
      <w:r w:rsidDel="00000000" w:rsidR="00000000" w:rsidRPr="00000000">
        <w:rPr>
          <w:rtl w:val="0"/>
        </w:rPr>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MEETINGS</w:t>
            </w:r>
          </w:p>
        </w:tc>
      </w:tr>
    </w:tbl>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Board must meet at least once a year prior to</w:t>
      </w:r>
      <w:r w:rsidDel="00000000" w:rsidR="00000000" w:rsidRPr="00000000">
        <w:rPr>
          <w:rFonts w:ascii="Times New Roman" w:cs="Times New Roman" w:eastAsia="Times New Roman" w:hAnsi="Times New Roman"/>
          <w:sz w:val="24"/>
          <w:szCs w:val="24"/>
          <w:rtl w:val="0"/>
        </w:rPr>
        <w:t xml:space="preserve"> July 1. </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Rules of Order will be observed.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quorum will consist of at least two Executive Cabinet Members – one of which must be the President or the Vice-President – and at least three Members of the at-large board.</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Board Members will decide all measures with a simple majority vote. In the event of a tie, the measure fails.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Constituent Members may attend the Annual Meeting.</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president may call additional meetings. Quorum is required as stipulated in (3).</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AMENDING PROCESS </w:t>
            </w:r>
          </w:p>
        </w:tc>
      </w:tr>
    </w:tbl>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and any bylaws may be amended by a three-fourths majority of those voting at the Annual General Board Meeting.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may be proposed by any Constituent Member at any time; however, these proposed amendments will not be addressed or voted on until the next Annual General Board Meeting.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At any time interim amendment(s) shall become necessary and proper for carrying into execution the foregoing powers, the President may call an emergency session to address the needs of the organization.</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interim amendment(s) must be approved by a </w:t>
      </w:r>
      <w:r w:rsidDel="00000000" w:rsidR="00000000" w:rsidRPr="00000000">
        <w:rPr>
          <w:rFonts w:ascii="Times New Roman" w:cs="Times New Roman" w:eastAsia="Times New Roman" w:hAnsi="Times New Roman"/>
          <w:sz w:val="24"/>
          <w:szCs w:val="24"/>
          <w:rtl w:val="0"/>
        </w:rPr>
        <w:t xml:space="preserve">three-fourths majority vote of the emergency session.</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interim amendment(s) will then be presented for voting at the next Annual General Board Meeting in order to become a permanent amendment.</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